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7F" w:rsidRDefault="0092697F" w:rsidP="0092697F">
      <w:pPr>
        <w:spacing w:before="240" w:line="276" w:lineRule="auto"/>
        <w:ind w:right="-94"/>
        <w:jc w:val="right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92697F" w:rsidRDefault="0092697F" w:rsidP="0092697F">
      <w:pPr>
        <w:spacing w:before="240" w:line="276" w:lineRule="auto"/>
        <w:ind w:right="-94"/>
        <w:jc w:val="right"/>
        <w:rPr>
          <w:bCs/>
          <w:szCs w:val="28"/>
        </w:rPr>
      </w:pPr>
      <w:r>
        <w:rPr>
          <w:bCs/>
          <w:szCs w:val="28"/>
        </w:rPr>
        <w:t>к приказу № 01-10/150</w:t>
      </w:r>
    </w:p>
    <w:p w:rsidR="0092697F" w:rsidRDefault="0092697F" w:rsidP="0092697F">
      <w:pPr>
        <w:spacing w:before="240" w:line="276" w:lineRule="auto"/>
        <w:ind w:right="-94"/>
        <w:jc w:val="right"/>
        <w:rPr>
          <w:bCs/>
          <w:szCs w:val="28"/>
        </w:rPr>
      </w:pPr>
      <w:r>
        <w:rPr>
          <w:bCs/>
          <w:szCs w:val="28"/>
        </w:rPr>
        <w:t>от 30.08.2023</w:t>
      </w:r>
    </w:p>
    <w:p w:rsidR="006711D5" w:rsidRDefault="006711D5">
      <w:pPr>
        <w:jc w:val="center"/>
        <w:rPr>
          <w:b/>
        </w:rPr>
      </w:pPr>
      <w:bookmarkStart w:id="0" w:name="_GoBack"/>
      <w:bookmarkEnd w:id="0"/>
    </w:p>
    <w:p w:rsidR="006711D5" w:rsidRDefault="006711D5">
      <w:pPr>
        <w:jc w:val="center"/>
        <w:rPr>
          <w:b/>
        </w:rPr>
      </w:pPr>
    </w:p>
    <w:p w:rsidR="006711D5" w:rsidRDefault="008D775C">
      <w:pPr>
        <w:jc w:val="center"/>
        <w:rPr>
          <w:b/>
          <w:sz w:val="28"/>
          <w:szCs w:val="28"/>
        </w:rPr>
      </w:pPr>
      <w:r>
        <w:rPr>
          <w:b/>
        </w:rPr>
        <w:t xml:space="preserve"> </w:t>
      </w:r>
      <w:r>
        <w:rPr>
          <w:b/>
          <w:sz w:val="28"/>
          <w:szCs w:val="28"/>
        </w:rPr>
        <w:t>ПОЛОЖЕНИЕ</w:t>
      </w:r>
    </w:p>
    <w:p w:rsidR="006711D5" w:rsidRDefault="008D7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разграничении прав доступа</w:t>
      </w:r>
    </w:p>
    <w:p w:rsidR="006711D5" w:rsidRDefault="008D77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обрабатываемым персональным данным </w:t>
      </w:r>
    </w:p>
    <w:p w:rsidR="006711D5" w:rsidRDefault="006711D5">
      <w:pPr>
        <w:jc w:val="center"/>
        <w:rPr>
          <w:bCs/>
          <w:sz w:val="28"/>
          <w:szCs w:val="28"/>
        </w:rPr>
      </w:pPr>
    </w:p>
    <w:p w:rsidR="006711D5" w:rsidRDefault="008D775C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711D5" w:rsidRDefault="006711D5">
      <w:pPr>
        <w:pStyle w:val="a5"/>
        <w:rPr>
          <w:b/>
          <w:bCs/>
        </w:rPr>
      </w:pPr>
    </w:p>
    <w:p w:rsidR="006711D5" w:rsidRDefault="008D775C">
      <w:r>
        <w:t xml:space="preserve">          Настоящее Положение о разграничении прав доступа к обрабатываемым персональным данным (далее - Положение) в  МАОУ</w:t>
      </w:r>
      <w:r>
        <w:rPr>
          <w:color w:val="000000"/>
        </w:rPr>
        <w:t xml:space="preserve"> «СОШ №</w:t>
      </w:r>
      <w:r w:rsidR="000B6475">
        <w:rPr>
          <w:color w:val="000000"/>
        </w:rPr>
        <w:t>53</w:t>
      </w:r>
      <w:r>
        <w:rPr>
          <w:color w:val="000000"/>
        </w:rPr>
        <w:t>»</w:t>
      </w:r>
      <w:r>
        <w:t xml:space="preserve"> (далее – Школа) разработано в соответствии </w:t>
      </w:r>
      <w:r>
        <w:rPr>
          <w:color w:val="000000"/>
          <w:spacing w:val="-2"/>
        </w:rPr>
        <w:t xml:space="preserve">с </w:t>
      </w:r>
      <w:r>
        <w:t>Федеральным законом от 27 июля 2006 г. № 152-ФЗ «О персональных данных», Правилами внутреннего трудового распорядка Школы и определяет уровень доступа должностных лиц к персональным данным работников и учащихся.</w:t>
      </w:r>
    </w:p>
    <w:p w:rsidR="006711D5" w:rsidRDefault="006711D5">
      <w:bookmarkStart w:id="1" w:name="_Toc268791122"/>
    </w:p>
    <w:p w:rsidR="006711D5" w:rsidRDefault="008D775C">
      <w:pPr>
        <w:pStyle w:val="a6"/>
        <w:jc w:val="center"/>
        <w:rPr>
          <w:b/>
        </w:rPr>
      </w:pPr>
      <w:r>
        <w:rPr>
          <w:b/>
        </w:rPr>
        <w:t xml:space="preserve">2. </w:t>
      </w:r>
      <w:bookmarkEnd w:id="1"/>
      <w:r>
        <w:rPr>
          <w:rStyle w:val="21"/>
          <w:rFonts w:ascii="Times New Roman" w:hAnsi="Times New Roman" w:cs="Times New Roman"/>
          <w:bCs w:val="0"/>
          <w:smallCaps w:val="0"/>
          <w:shadow w:val="0"/>
          <w:sz w:val="24"/>
        </w:rPr>
        <w:t>ОСНОВНЫЕ ПОНЯТИЯ</w:t>
      </w:r>
    </w:p>
    <w:p w:rsidR="006711D5" w:rsidRDefault="008D775C">
      <w:r>
        <w:t>Для целей настоящего Положения используются следующие основные понятия:</w:t>
      </w:r>
    </w:p>
    <w:p w:rsidR="006711D5" w:rsidRDefault="008D775C">
      <w:proofErr w:type="gramStart"/>
      <w:r>
        <w:t xml:space="preserve">- </w:t>
      </w:r>
      <w:r>
        <w:rPr>
          <w:b/>
          <w:i/>
        </w:rPr>
        <w:t>персональные данные работника</w:t>
      </w:r>
      <w:r>
        <w:t xml:space="preserve">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6711D5" w:rsidRDefault="008D775C">
      <w:pPr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i/>
          <w:color w:val="000000"/>
        </w:rPr>
        <w:t>персональные данные учащихся</w:t>
      </w:r>
      <w:r>
        <w:rPr>
          <w:color w:val="000000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</w:t>
      </w:r>
    </w:p>
    <w:p w:rsidR="006711D5" w:rsidRDefault="008D775C">
      <w:proofErr w:type="gramStart"/>
      <w:r>
        <w:t xml:space="preserve">- </w:t>
      </w:r>
      <w:r>
        <w:rPr>
          <w:b/>
          <w:i/>
        </w:rPr>
        <w:t>обработка персональных данных</w:t>
      </w:r>
      <w: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6711D5" w:rsidRDefault="008D775C">
      <w:r>
        <w:t xml:space="preserve">- </w:t>
      </w:r>
      <w:r>
        <w:rPr>
          <w:b/>
          <w:i/>
        </w:rPr>
        <w:t>конфиденциальность персональных данных</w:t>
      </w:r>
      <w:r>
        <w:t xml:space="preserve">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</w:t>
      </w:r>
      <w:r>
        <w:rPr>
          <w:color w:val="000000"/>
        </w:rPr>
        <w:t>родителей (законных представителей) учащегося</w:t>
      </w:r>
      <w:r>
        <w:t>)  или иного законного основания;</w:t>
      </w:r>
    </w:p>
    <w:p w:rsidR="006711D5" w:rsidRDefault="008D775C">
      <w:r>
        <w:t xml:space="preserve">- </w:t>
      </w:r>
      <w:r>
        <w:rPr>
          <w:b/>
          <w:i/>
        </w:rPr>
        <w:t>распространение персональных данных</w:t>
      </w:r>
      <w: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6711D5" w:rsidRDefault="008D775C">
      <w:r>
        <w:t xml:space="preserve">- </w:t>
      </w:r>
      <w:r>
        <w:rPr>
          <w:b/>
          <w:i/>
        </w:rPr>
        <w:t>использование персональных данных</w:t>
      </w:r>
      <w:r>
        <w:t xml:space="preserve"> -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6711D5" w:rsidRDefault="008D775C">
      <w:r>
        <w:lastRenderedPageBreak/>
        <w:t xml:space="preserve">- </w:t>
      </w:r>
      <w:r>
        <w:rPr>
          <w:b/>
          <w:i/>
        </w:rPr>
        <w:t>блокирование персональных данных</w:t>
      </w:r>
      <w: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6711D5" w:rsidRDefault="008D775C">
      <w:r>
        <w:t xml:space="preserve">- </w:t>
      </w:r>
      <w:r>
        <w:rPr>
          <w:b/>
          <w:i/>
        </w:rPr>
        <w:t>уничтожение персональных данных</w:t>
      </w:r>
      <w: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6711D5" w:rsidRDefault="008D775C">
      <w:r>
        <w:t xml:space="preserve">- </w:t>
      </w:r>
      <w:r>
        <w:rPr>
          <w:b/>
          <w:i/>
        </w:rPr>
        <w:t>обезличивание персональных данных</w:t>
      </w:r>
      <w:r>
        <w:t xml:space="preserve"> - действия, в результате которых невозможно определить принадлежность персональных данных конкретному работнику (учащемуся);</w:t>
      </w:r>
    </w:p>
    <w:p w:rsidR="006711D5" w:rsidRDefault="008D775C">
      <w:r>
        <w:t xml:space="preserve">- </w:t>
      </w:r>
      <w:r>
        <w:rPr>
          <w:b/>
          <w:i/>
        </w:rPr>
        <w:t>информация</w:t>
      </w:r>
      <w:r>
        <w:t xml:space="preserve"> - сведения (сообщения, данные) независимо от формы их представления;</w:t>
      </w:r>
    </w:p>
    <w:p w:rsidR="006711D5" w:rsidRDefault="008D775C">
      <w:r>
        <w:rPr>
          <w:sz w:val="28"/>
          <w:szCs w:val="28"/>
        </w:rPr>
        <w:t xml:space="preserve">3. </w:t>
      </w:r>
      <w:r>
        <w:rPr>
          <w:rStyle w:val="21"/>
          <w:rFonts w:ascii="Times New Roman" w:hAnsi="Times New Roman" w:cs="Times New Roman"/>
          <w:bCs w:val="0"/>
          <w:smallCaps w:val="0"/>
          <w:shadow w:val="0"/>
          <w:sz w:val="24"/>
        </w:rPr>
        <w:t>разграничение прав доступа при автоматизированной обработке персональных данНых</w:t>
      </w:r>
    </w:p>
    <w:p w:rsidR="006711D5" w:rsidRDefault="008D775C">
      <w:r>
        <w:rPr>
          <w:b/>
          <w:sz w:val="28"/>
          <w:szCs w:val="28"/>
        </w:rPr>
        <w:t>3.</w:t>
      </w:r>
      <w:r>
        <w:rPr>
          <w:b/>
        </w:rPr>
        <w:t>1.</w:t>
      </w:r>
      <w:r>
        <w:t xml:space="preserve"> 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 в </w:t>
      </w:r>
      <w:proofErr w:type="spellStart"/>
      <w:r>
        <w:t>ИСПДн</w:t>
      </w:r>
      <w:proofErr w:type="spellEnd"/>
      <w:r>
        <w:t>.</w:t>
      </w:r>
    </w:p>
    <w:p w:rsidR="006711D5" w:rsidRDefault="008D775C">
      <w:r>
        <w:rPr>
          <w:b/>
        </w:rPr>
        <w:t>3.2.</w:t>
      </w:r>
      <w:r>
        <w:t xml:space="preserve"> 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представлен в таблице № 1 </w:t>
      </w:r>
    </w:p>
    <w:p w:rsidR="006711D5" w:rsidRDefault="008D775C">
      <w:r>
        <w:rPr>
          <w:b/>
        </w:rPr>
        <w:t>Таблица №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2"/>
        <w:gridCol w:w="5458"/>
        <w:gridCol w:w="2281"/>
      </w:tblGrid>
      <w:tr w:rsidR="006711D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Группа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Уровень доступа к </w:t>
            </w:r>
            <w:proofErr w:type="spellStart"/>
            <w:r>
              <w:t>ПДн</w:t>
            </w:r>
            <w:proofErr w:type="spellEnd"/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Разрешенные действия</w:t>
            </w:r>
          </w:p>
        </w:tc>
      </w:tr>
      <w:tr w:rsidR="006711D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Администратор </w:t>
            </w:r>
            <w:proofErr w:type="spellStart"/>
            <w:r>
              <w:t>ИСПДн</w:t>
            </w:r>
            <w:proofErr w:type="spellEnd"/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- Обладает полной информацией о системном и прикладном программном обеспечении </w:t>
            </w:r>
            <w:proofErr w:type="spellStart"/>
            <w:r>
              <w:t>ИСПДн</w:t>
            </w:r>
            <w:proofErr w:type="spellEnd"/>
            <w:r>
              <w:t xml:space="preserve">. </w:t>
            </w:r>
          </w:p>
          <w:p w:rsidR="006711D5" w:rsidRDefault="008D775C">
            <w:r>
              <w:t xml:space="preserve">- Обладает полной информацией о технических средствах и конфигурации </w:t>
            </w:r>
            <w:proofErr w:type="spellStart"/>
            <w:r>
              <w:t>ИСПДн</w:t>
            </w:r>
            <w:proofErr w:type="spellEnd"/>
            <w:r>
              <w:t xml:space="preserve">. </w:t>
            </w:r>
          </w:p>
          <w:p w:rsidR="006711D5" w:rsidRDefault="008D775C">
            <w:r>
              <w:t xml:space="preserve">- Имеет доступ ко всем техническим средствам обработки информации и данным </w:t>
            </w:r>
            <w:proofErr w:type="spellStart"/>
            <w:r>
              <w:t>ИСПДн</w:t>
            </w:r>
            <w:proofErr w:type="spellEnd"/>
            <w:r>
              <w:t xml:space="preserve">. </w:t>
            </w:r>
          </w:p>
          <w:p w:rsidR="006711D5" w:rsidRDefault="008D775C">
            <w:r>
              <w:t xml:space="preserve">- Обладает правами конфигурирования и административной настройки технических средств </w:t>
            </w:r>
            <w:proofErr w:type="spellStart"/>
            <w:r>
              <w:t>ИСПДн</w:t>
            </w:r>
            <w:proofErr w:type="spellEnd"/>
            <w: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сбор</w:t>
            </w:r>
          </w:p>
          <w:p w:rsidR="006711D5" w:rsidRDefault="008D775C">
            <w:r>
              <w:t>- систематизация</w:t>
            </w:r>
          </w:p>
          <w:p w:rsidR="006711D5" w:rsidRDefault="008D775C">
            <w:r>
              <w:t>- накопление</w:t>
            </w:r>
          </w:p>
          <w:p w:rsidR="006711D5" w:rsidRDefault="008D775C">
            <w:r>
              <w:t>- хранение</w:t>
            </w:r>
          </w:p>
          <w:p w:rsidR="006711D5" w:rsidRDefault="008D775C">
            <w:r>
              <w:t>- уточнение</w:t>
            </w:r>
          </w:p>
          <w:p w:rsidR="006711D5" w:rsidRDefault="008D775C">
            <w:r>
              <w:t>- использование</w:t>
            </w:r>
          </w:p>
          <w:p w:rsidR="006711D5" w:rsidRDefault="008D775C">
            <w:r>
              <w:t>- уничтожение</w:t>
            </w:r>
          </w:p>
        </w:tc>
      </w:tr>
      <w:tr w:rsidR="006711D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Администратор безопасности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- Обладает правами Администратора </w:t>
            </w:r>
            <w:proofErr w:type="spellStart"/>
            <w:r>
              <w:t>ИСПДн</w:t>
            </w:r>
            <w:proofErr w:type="spellEnd"/>
            <w:r>
              <w:t>.</w:t>
            </w:r>
          </w:p>
          <w:p w:rsidR="006711D5" w:rsidRDefault="008D775C">
            <w:r>
              <w:t xml:space="preserve">- Обладает полной информацией об </w:t>
            </w:r>
            <w:proofErr w:type="spellStart"/>
            <w:r>
              <w:t>ИСПДн</w:t>
            </w:r>
            <w:proofErr w:type="spellEnd"/>
            <w:r>
              <w:t>.</w:t>
            </w:r>
          </w:p>
          <w:p w:rsidR="006711D5" w:rsidRDefault="008D775C">
            <w:r>
              <w:t xml:space="preserve">- Имеет доступ к средствам защиты информации и протоколирования и к части ключевых элементов </w:t>
            </w:r>
            <w:proofErr w:type="spellStart"/>
            <w:r>
              <w:t>ИСПДн</w:t>
            </w:r>
            <w:proofErr w:type="spellEnd"/>
            <w:r>
              <w:t>.</w:t>
            </w:r>
          </w:p>
          <w:p w:rsidR="006711D5" w:rsidRDefault="008D775C">
            <w:r>
              <w:t>- Не имеет прав доступа к конфигурированию технических средств сети за исключением контрольных (инспекционных).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сбор</w:t>
            </w:r>
          </w:p>
          <w:p w:rsidR="006711D5" w:rsidRDefault="008D775C">
            <w:r>
              <w:t>- систематизация</w:t>
            </w:r>
          </w:p>
          <w:p w:rsidR="006711D5" w:rsidRDefault="008D775C">
            <w:r>
              <w:t>- накопление</w:t>
            </w:r>
          </w:p>
          <w:p w:rsidR="006711D5" w:rsidRDefault="008D775C">
            <w:r>
              <w:t>- хранение</w:t>
            </w:r>
          </w:p>
          <w:p w:rsidR="006711D5" w:rsidRDefault="008D775C">
            <w:r>
              <w:t>- уточнение</w:t>
            </w:r>
          </w:p>
          <w:p w:rsidR="006711D5" w:rsidRDefault="008D775C">
            <w:r>
              <w:t>- использование</w:t>
            </w:r>
          </w:p>
          <w:p w:rsidR="006711D5" w:rsidRDefault="008D775C">
            <w:r>
              <w:t>- уничтожение</w:t>
            </w:r>
          </w:p>
        </w:tc>
      </w:tr>
      <w:tr w:rsidR="006711D5"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Оператор </w:t>
            </w:r>
            <w:proofErr w:type="spellStart"/>
            <w:r>
              <w:t>ИСПДн</w:t>
            </w:r>
            <w:proofErr w:type="spellEnd"/>
            <w:r>
              <w:t xml:space="preserve"> 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Обладает всеми необходимыми атрибутами и правами, обеспечивающими доступ ко всем </w:t>
            </w:r>
            <w:proofErr w:type="spellStart"/>
            <w:r>
              <w:t>ПДн</w:t>
            </w:r>
            <w:proofErr w:type="spellEnd"/>
            <w:r>
              <w:t>.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сбор</w:t>
            </w:r>
          </w:p>
          <w:p w:rsidR="006711D5" w:rsidRDefault="008D775C">
            <w:r>
              <w:t>- систематизация</w:t>
            </w:r>
          </w:p>
          <w:p w:rsidR="006711D5" w:rsidRDefault="008D775C">
            <w:r>
              <w:t>- накопление</w:t>
            </w:r>
          </w:p>
          <w:p w:rsidR="006711D5" w:rsidRDefault="008D775C">
            <w:r>
              <w:t>- хранение</w:t>
            </w:r>
          </w:p>
          <w:p w:rsidR="006711D5" w:rsidRDefault="008D775C">
            <w:r>
              <w:t>- уточнение</w:t>
            </w:r>
          </w:p>
          <w:p w:rsidR="006711D5" w:rsidRDefault="008D775C">
            <w:r>
              <w:t>- использование</w:t>
            </w:r>
          </w:p>
          <w:p w:rsidR="006711D5" w:rsidRDefault="008D775C">
            <w:r>
              <w:t>- уничтожение</w:t>
            </w:r>
          </w:p>
        </w:tc>
      </w:tr>
    </w:tbl>
    <w:p w:rsidR="006711D5" w:rsidRDefault="006711D5">
      <w:pPr>
        <w:rPr>
          <w:b/>
        </w:rPr>
      </w:pPr>
    </w:p>
    <w:p w:rsidR="006711D5" w:rsidRDefault="008D775C">
      <w:r>
        <w:rPr>
          <w:rStyle w:val="21"/>
          <w:rFonts w:ascii="Times New Roman" w:hAnsi="Times New Roman" w:cs="Times New Roman"/>
          <w:sz w:val="24"/>
        </w:rPr>
        <w:t>4. Разграничение прав доступа при неавтоматизированной обработке персональных данНых</w:t>
      </w:r>
    </w:p>
    <w:p w:rsidR="006711D5" w:rsidRDefault="008D775C">
      <w:pPr>
        <w:rPr>
          <w:b/>
        </w:rPr>
      </w:pPr>
      <w:r>
        <w:rPr>
          <w:b/>
        </w:rPr>
        <w:t>4.1.</w:t>
      </w:r>
      <w:r>
        <w:t xml:space="preserve"> Разграничение прав осуществляется исходя из характера и режима обработки персональных данных на материальных носителях.</w:t>
      </w:r>
    </w:p>
    <w:p w:rsidR="006711D5" w:rsidRDefault="008D775C">
      <w:r>
        <w:rPr>
          <w:b/>
        </w:rPr>
        <w:t>4.2.</w:t>
      </w:r>
      <w:r>
        <w:t xml:space="preserve"> Список лиц ответственных за неавтоматизированную обработку персональных, а так же их уровень прав доступа к персональным данным представлен в таблице № 2.</w:t>
      </w:r>
    </w:p>
    <w:p w:rsidR="006711D5" w:rsidRDefault="008D775C">
      <w:pPr>
        <w:rPr>
          <w:b/>
        </w:rPr>
      </w:pPr>
      <w:r>
        <w:rPr>
          <w:b/>
        </w:rPr>
        <w:t>Таблица №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4933"/>
        <w:gridCol w:w="2351"/>
      </w:tblGrid>
      <w:tr w:rsidR="006711D5">
        <w:trPr>
          <w:tblHeader/>
        </w:trPr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Группа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Уровень доступа к </w:t>
            </w:r>
            <w:proofErr w:type="spellStart"/>
            <w:r>
              <w:t>ПДн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Разрешенные действия</w:t>
            </w:r>
          </w:p>
        </w:tc>
      </w:tr>
      <w:tr w:rsidR="006711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Администрация школы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Обладает полной информацией о персональных данных учащихся и их родителей, работников школы.</w:t>
            </w:r>
          </w:p>
          <w:p w:rsidR="006711D5" w:rsidRDefault="008D775C">
            <w:r>
              <w:t>- Имеет доступ к личным делам учащихся и работников, информации на материальных носителях, содержащей персональные данные учащихся, их родителей (законных представителей) и работников школы.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сбор и систематизация</w:t>
            </w:r>
          </w:p>
          <w:p w:rsidR="006711D5" w:rsidRDefault="008D775C">
            <w:r>
              <w:t>- накопление и хранение</w:t>
            </w:r>
          </w:p>
          <w:p w:rsidR="006711D5" w:rsidRDefault="008D775C">
            <w:r>
              <w:t>- уточнение (обновление, изменение)</w:t>
            </w:r>
          </w:p>
          <w:p w:rsidR="006711D5" w:rsidRDefault="008D775C">
            <w:r>
              <w:t>- использование</w:t>
            </w:r>
          </w:p>
          <w:p w:rsidR="006711D5" w:rsidRDefault="008D775C">
            <w:r>
              <w:t>- уничтожение</w:t>
            </w:r>
          </w:p>
          <w:p w:rsidR="006711D5" w:rsidRDefault="008D775C">
            <w:r>
              <w:t>- распространение</w:t>
            </w:r>
          </w:p>
          <w:p w:rsidR="006711D5" w:rsidRDefault="008D775C">
            <w:r>
              <w:t>- блокирование</w:t>
            </w:r>
          </w:p>
          <w:p w:rsidR="006711D5" w:rsidRDefault="008D775C">
            <w:r>
              <w:t>- обезличивание</w:t>
            </w:r>
          </w:p>
        </w:tc>
      </w:tr>
      <w:tr w:rsidR="006711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Классные руководители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- Имеет доступ к личным делам учащихся и информации на материальных носителях, содержащей персональные данные учащихся только </w:t>
            </w:r>
            <w:r>
              <w:rPr>
                <w:b/>
              </w:rPr>
              <w:t>своего класса</w:t>
            </w:r>
            <w:r>
              <w:t xml:space="preserve">.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сбор и систематизация</w:t>
            </w:r>
          </w:p>
          <w:p w:rsidR="006711D5" w:rsidRDefault="008D775C">
            <w:r>
              <w:t>- уточнение (обновление, изменение)</w:t>
            </w:r>
          </w:p>
          <w:p w:rsidR="006711D5" w:rsidRDefault="008D775C">
            <w:r>
              <w:t>- использование</w:t>
            </w:r>
          </w:p>
          <w:p w:rsidR="006711D5" w:rsidRDefault="008D775C">
            <w:r>
              <w:t>- уничтожение</w:t>
            </w:r>
          </w:p>
        </w:tc>
      </w:tr>
      <w:tr w:rsidR="006711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Педагоги 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- Имеет доступ к информации на материальных носителях (классный журнал,  журнал работы объединения в системе дополнительного образования), содержащей персональные данные учащихся и контактной информации родителей учащихся </w:t>
            </w:r>
            <w:r>
              <w:rPr>
                <w:b/>
              </w:rPr>
              <w:t>своей секции, кружка</w:t>
            </w:r>
            <w: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уточнение (обновление, изменение)</w:t>
            </w:r>
          </w:p>
          <w:p w:rsidR="006711D5" w:rsidRDefault="008D775C">
            <w:r>
              <w:t>- использование</w:t>
            </w:r>
          </w:p>
          <w:p w:rsidR="006711D5" w:rsidRDefault="006711D5"/>
        </w:tc>
      </w:tr>
      <w:tr w:rsidR="006711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Учителя – предметники. 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 xml:space="preserve">- 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 предмету учителя. 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использование</w:t>
            </w:r>
          </w:p>
          <w:p w:rsidR="006711D5" w:rsidRDefault="006711D5"/>
        </w:tc>
      </w:tr>
      <w:tr w:rsidR="006711D5"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Библиотекарь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1D5" w:rsidRDefault="008D775C">
            <w:r>
              <w:t>- использование</w:t>
            </w:r>
          </w:p>
          <w:p w:rsidR="006711D5" w:rsidRDefault="008D775C">
            <w:r>
              <w:t>- хранение</w:t>
            </w:r>
          </w:p>
        </w:tc>
      </w:tr>
    </w:tbl>
    <w:p w:rsidR="006711D5" w:rsidRDefault="006711D5"/>
    <w:sectPr w:rsidR="0067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BEB" w:rsidRDefault="00055BEB">
      <w:r>
        <w:separator/>
      </w:r>
    </w:p>
  </w:endnote>
  <w:endnote w:type="continuationSeparator" w:id="0">
    <w:p w:rsidR="00055BEB" w:rsidRDefault="0005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BEB" w:rsidRDefault="00055BEB">
      <w:r>
        <w:separator/>
      </w:r>
    </w:p>
  </w:footnote>
  <w:footnote w:type="continuationSeparator" w:id="0">
    <w:p w:rsidR="00055BEB" w:rsidRDefault="00055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6AB"/>
    <w:multiLevelType w:val="multilevel"/>
    <w:tmpl w:val="290726AB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D313476"/>
    <w:multiLevelType w:val="multilevel"/>
    <w:tmpl w:val="6D31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041"/>
    <w:rsid w:val="00055BEB"/>
    <w:rsid w:val="000B6475"/>
    <w:rsid w:val="0015357C"/>
    <w:rsid w:val="001F4D2E"/>
    <w:rsid w:val="00462845"/>
    <w:rsid w:val="00540041"/>
    <w:rsid w:val="006711D5"/>
    <w:rsid w:val="00780087"/>
    <w:rsid w:val="008D72F4"/>
    <w:rsid w:val="008D775C"/>
    <w:rsid w:val="009033FB"/>
    <w:rsid w:val="0092697F"/>
    <w:rsid w:val="009959DB"/>
    <w:rsid w:val="00A75A76"/>
    <w:rsid w:val="00B37384"/>
    <w:rsid w:val="00B37BB3"/>
    <w:rsid w:val="00B917A6"/>
    <w:rsid w:val="00BB0B19"/>
    <w:rsid w:val="00D04098"/>
    <w:rsid w:val="00EA1FD5"/>
    <w:rsid w:val="351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pageBreakBefore/>
      <w:numPr>
        <w:numId w:val="1"/>
      </w:numPr>
      <w:spacing w:before="240" w:after="120"/>
      <w:jc w:val="left"/>
      <w:outlineLvl w:val="0"/>
    </w:pPr>
    <w:rPr>
      <w:rFonts w:ascii="Arial" w:hAnsi="Arial"/>
      <w:b/>
      <w:bCs/>
      <w:caps/>
      <w:shadow/>
      <w:sz w:val="27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numPr>
        <w:ilvl w:val="1"/>
        <w:numId w:val="1"/>
      </w:numPr>
      <w:spacing w:before="240" w:after="120"/>
      <w:jc w:val="left"/>
      <w:outlineLvl w:val="1"/>
    </w:pPr>
    <w:rPr>
      <w:rFonts w:ascii="Arial" w:hAnsi="Arial" w:cs="Arial CYR"/>
      <w:b/>
      <w:bCs/>
      <w:smallCaps/>
      <w:shadow/>
      <w:spacing w:val="-2"/>
      <w:sz w:val="27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numPr>
        <w:ilvl w:val="2"/>
        <w:numId w:val="1"/>
      </w:numPr>
      <w:spacing w:before="240" w:after="120"/>
      <w:jc w:val="left"/>
      <w:outlineLvl w:val="2"/>
    </w:pPr>
    <w:rPr>
      <w:rFonts w:ascii="Arial" w:hAnsi="Arial"/>
      <w:shadow/>
      <w:sz w:val="27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numPr>
        <w:ilvl w:val="3"/>
        <w:numId w:val="1"/>
      </w:numPr>
      <w:spacing w:before="120" w:after="120"/>
      <w:jc w:val="left"/>
      <w:outlineLvl w:val="3"/>
    </w:pPr>
    <w:rPr>
      <w:rFonts w:ascii="Arial Narrow" w:hAnsi="Arial Narrow"/>
      <w:bCs/>
      <w:shadow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aps/>
      <w:shadow/>
      <w:sz w:val="27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 CYR"/>
      <w:b/>
      <w:bCs/>
      <w:smallCaps/>
      <w:shadow/>
      <w:spacing w:val="-2"/>
      <w:sz w:val="27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Pr>
      <w:rFonts w:ascii="Arial" w:eastAsia="Times New Roman" w:hAnsi="Arial" w:cs="Times New Roman"/>
      <w:shadow/>
      <w:sz w:val="27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Pr>
      <w:rFonts w:ascii="Arial Narrow" w:eastAsia="Times New Roman" w:hAnsi="Arial Narrow" w:cs="Times New Roman"/>
      <w:bCs/>
      <w:shadow/>
      <w:sz w:val="27"/>
      <w:szCs w:val="27"/>
      <w:lang w:eastAsia="ru-RU"/>
    </w:rPr>
  </w:style>
  <w:style w:type="paragraph" w:customStyle="1" w:styleId="11">
    <w:name w:val="Титул 1 Ж"/>
    <w:basedOn w:val="a"/>
    <w:pPr>
      <w:jc w:val="center"/>
    </w:pPr>
    <w:rPr>
      <w:b/>
      <w:caps/>
      <w:shadow/>
      <w:sz w:val="27"/>
      <w:szCs w:val="27"/>
    </w:rPr>
  </w:style>
  <w:style w:type="character" w:customStyle="1" w:styleId="12">
    <w:name w:val="Обычный 1 Знак"/>
    <w:basedOn w:val="a0"/>
    <w:link w:val="13"/>
    <w:locked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 1"/>
    <w:basedOn w:val="a"/>
    <w:link w:val="12"/>
    <w:pPr>
      <w:spacing w:before="60" w:after="60" w:line="360" w:lineRule="auto"/>
      <w:ind w:firstLine="709"/>
    </w:pPr>
    <w:rPr>
      <w:lang w:eastAsia="en-US"/>
    </w:rPr>
  </w:style>
  <w:style w:type="paragraph" w:customStyle="1" w:styleId="a3">
    <w:name w:val="Таблица текст"/>
    <w:basedOn w:val="a"/>
    <w:pPr>
      <w:spacing w:before="40" w:after="40"/>
      <w:ind w:left="57" w:right="57"/>
      <w:jc w:val="left"/>
    </w:pPr>
  </w:style>
  <w:style w:type="paragraph" w:customStyle="1" w:styleId="a4">
    <w:name w:val="Таблица шапка"/>
    <w:basedOn w:val="a"/>
    <w:next w:val="a"/>
    <w:pPr>
      <w:keepNext/>
      <w:keepLines/>
      <w:spacing w:before="60" w:after="60"/>
      <w:jc w:val="center"/>
    </w:pPr>
    <w:rPr>
      <w:b/>
    </w:rPr>
  </w:style>
  <w:style w:type="paragraph" w:customStyle="1" w:styleId="a00">
    <w:name w:val="a0"/>
    <w:basedOn w:val="a"/>
    <w:pPr>
      <w:spacing w:before="100" w:beforeAutospacing="1" w:after="100" w:afterAutospacing="1"/>
      <w:jc w:val="left"/>
    </w:pPr>
  </w:style>
  <w:style w:type="character" w:customStyle="1" w:styleId="21">
    <w:name w:val="Заголовок 2 + По центру Знак"/>
    <w:basedOn w:val="20"/>
    <w:link w:val="22"/>
    <w:locked/>
    <w:rPr>
      <w:rFonts w:ascii="Arial" w:eastAsia="Times New Roman" w:hAnsi="Arial" w:cs="Arial CYR"/>
      <w:b/>
      <w:bCs/>
      <w:caps/>
      <w:smallCaps/>
      <w:shadow/>
      <w:spacing w:val="-2"/>
      <w:sz w:val="27"/>
      <w:szCs w:val="24"/>
      <w:lang w:eastAsia="ru-RU"/>
    </w:rPr>
  </w:style>
  <w:style w:type="paragraph" w:customStyle="1" w:styleId="22">
    <w:name w:val="Заголовок 2 + По центру"/>
    <w:basedOn w:val="2"/>
    <w:link w:val="21"/>
    <w:pPr>
      <w:numPr>
        <w:ilvl w:val="0"/>
        <w:numId w:val="0"/>
      </w:numPr>
      <w:jc w:val="center"/>
    </w:pPr>
    <w:rPr>
      <w:cap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64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64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s1692</Company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Secretary</cp:lastModifiedBy>
  <cp:revision>8</cp:revision>
  <cp:lastPrinted>2024-07-26T06:21:00Z</cp:lastPrinted>
  <dcterms:created xsi:type="dcterms:W3CDTF">2014-10-03T12:27:00Z</dcterms:created>
  <dcterms:modified xsi:type="dcterms:W3CDTF">2024-07-26T09:27:00Z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969D0EF49E754CEAAD111F7401A48FE4_12</vt:lpwstr>
  </property>
</Properties>
</file>